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numPr>
          <w:ilvl w:val="0"/>
          <w:numId w:val="1"/>
        </w:numPr>
        <w:shd w:val="clear" w:color="auto" w:fill="FFFFFF"/>
        <w:spacing w:lineRule="auto" w:line="240" w:beforeAutospacing="1" w:after="0"/>
        <w:jc w:val="both"/>
        <w:rPr/>
      </w:pPr>
      <w:r>
        <w:rPr>
          <w:rFonts w:eastAsia="Times New Roman" w:cs="Times New Roman" w:ascii="Times New Roman" w:hAnsi="Times New Roman"/>
          <w:w w:val="96"/>
          <w:sz w:val="24"/>
          <w:szCs w:val="24"/>
          <w:lang w:eastAsia="ru-RU"/>
        </w:rPr>
        <w:t>Для публикации материалов участникам конференции необходимо подписать с ФГБУ «ЦНИГРИ» соглашение о передаче неисключительных прав на использование тезисов (</w:t>
      </w:r>
      <w:hyperlink r:id="rId2">
        <w:r>
          <w:rPr>
            <w:rStyle w:val="Hyperlink"/>
            <w:rFonts w:eastAsia="Times New Roman" w:cs="Times New Roman" w:ascii="Times New Roman" w:hAnsi="Times New Roman"/>
            <w:w w:val="96"/>
            <w:sz w:val="24"/>
            <w:szCs w:val="24"/>
            <w:lang w:eastAsia="ru-RU"/>
          </w:rPr>
          <w:t>приложение к циркуляру</w:t>
        </w:r>
      </w:hyperlink>
      <w:r>
        <w:rPr>
          <w:rFonts w:eastAsia="Times New Roman" w:cs="Times New Roman" w:ascii="Times New Roman" w:hAnsi="Times New Roman"/>
          <w:w w:val="96"/>
          <w:sz w:val="24"/>
          <w:szCs w:val="24"/>
          <w:lang w:eastAsia="ru-RU"/>
        </w:rPr>
        <w:t>) и предоставить акт экспертного заключения о возможности открытой публикации тезисов. Оргкомитет не гарантирует публикацию материалов участников конференции, не подписавших соглашение и не предоставивших экспертное заключение.</w:t>
      </w:r>
    </w:p>
    <w:p>
      <w:pPr>
        <w:pStyle w:val="Normal"/>
        <w:numPr>
          <w:ilvl w:val="0"/>
          <w:numId w:val="1"/>
        </w:numPr>
        <w:shd w:val="clear" w:color="auto" w:fill="FFFFFF"/>
        <w:spacing w:lineRule="auto" w:line="240" w:before="0" w:after="0"/>
        <w:jc w:val="both"/>
        <w:rPr>
          <w:rFonts w:ascii="Times New Roman" w:hAnsi="Times New Roman" w:eastAsia="Times New Roman" w:cs="Times New Roman"/>
          <w:w w:val="96"/>
          <w:sz w:val="24"/>
          <w:szCs w:val="24"/>
          <w:lang w:eastAsia="ru-RU"/>
        </w:rPr>
      </w:pPr>
      <w:r>
        <w:rPr>
          <w:rFonts w:eastAsia="Times New Roman" w:cs="Times New Roman" w:ascii="Times New Roman" w:hAnsi="Times New Roman"/>
          <w:w w:val="96"/>
          <w:sz w:val="24"/>
          <w:szCs w:val="24"/>
          <w:lang w:eastAsia="ru-RU"/>
        </w:rPr>
        <w:t>Тезисы публикуются в авторской редакции. Просьба обратить особое внимание на оформление рисунков и таблиц, а также на правила составления библиографического описания (см. пункт 1</w:t>
      </w:r>
      <w:r>
        <w:rPr>
          <w:rFonts w:eastAsia="Times New Roman" w:cs="Times New Roman" w:ascii="Times New Roman" w:hAnsi="Times New Roman"/>
          <w:w w:val="96"/>
          <w:sz w:val="24"/>
          <w:szCs w:val="24"/>
          <w:lang w:eastAsia="ru-RU"/>
        </w:rPr>
        <w:t>3</w:t>
      </w:r>
      <w:r>
        <w:rPr>
          <w:rFonts w:eastAsia="Times New Roman" w:cs="Times New Roman" w:ascii="Times New Roman" w:hAnsi="Times New Roman"/>
          <w:w w:val="96"/>
          <w:sz w:val="24"/>
          <w:szCs w:val="24"/>
          <w:lang w:eastAsia="ru-RU"/>
        </w:rPr>
        <w:t>), так как редактура авторских текстов проводиться не будет.</w:t>
      </w:r>
    </w:p>
    <w:p>
      <w:pPr>
        <w:pStyle w:val="Normal"/>
        <w:numPr>
          <w:ilvl w:val="0"/>
          <w:numId w:val="1"/>
        </w:numPr>
        <w:shd w:val="clear" w:color="auto" w:fill="FFFFFF"/>
        <w:spacing w:lineRule="auto" w:line="240" w:before="0" w:after="0"/>
        <w:jc w:val="both"/>
        <w:rPr>
          <w:rFonts w:ascii="Times New Roman" w:hAnsi="Times New Roman" w:eastAsia="Times New Roman" w:cs="Times New Roman"/>
          <w:w w:val="96"/>
          <w:sz w:val="24"/>
          <w:szCs w:val="24"/>
          <w:lang w:eastAsia="ru-RU"/>
        </w:rPr>
      </w:pPr>
      <w:r>
        <w:rPr>
          <w:rFonts w:eastAsia="Times New Roman" w:cs="Times New Roman" w:ascii="Times New Roman" w:hAnsi="Times New Roman"/>
          <w:w w:val="96"/>
          <w:sz w:val="24"/>
          <w:szCs w:val="24"/>
          <w:lang w:eastAsia="ru-RU"/>
        </w:rPr>
        <w:t>Название файла с текстом тезисов доклада необходимо начать с фамилии и инициалов первого автора – например: Иванов_ВН.doc</w:t>
      </w:r>
    </w:p>
    <w:p>
      <w:pPr>
        <w:pStyle w:val="Normal"/>
        <w:numPr>
          <w:ilvl w:val="0"/>
          <w:numId w:val="1"/>
        </w:numPr>
        <w:shd w:val="clear" w:color="auto" w:fill="FFFFFF"/>
        <w:spacing w:lineRule="auto" w:line="240" w:before="0" w:after="0"/>
        <w:jc w:val="both"/>
        <w:rPr>
          <w:rFonts w:ascii="Times New Roman" w:hAnsi="Times New Roman" w:eastAsia="Times New Roman" w:cs="Times New Roman"/>
          <w:w w:val="96"/>
          <w:sz w:val="24"/>
          <w:szCs w:val="24"/>
          <w:lang w:eastAsia="ru-RU"/>
        </w:rPr>
      </w:pPr>
      <w:r>
        <w:rPr>
          <w:rFonts w:eastAsia="Times New Roman" w:cs="Times New Roman" w:ascii="Times New Roman" w:hAnsi="Times New Roman"/>
          <w:w w:val="96"/>
          <w:sz w:val="24"/>
          <w:szCs w:val="24"/>
          <w:lang w:eastAsia="ru-RU"/>
        </w:rPr>
        <w:t>К публикации принимаются тексты на русском языке.</w:t>
      </w:r>
    </w:p>
    <w:p>
      <w:pPr>
        <w:pStyle w:val="Normal"/>
        <w:numPr>
          <w:ilvl w:val="0"/>
          <w:numId w:val="1"/>
        </w:numPr>
        <w:shd w:val="clear" w:color="auto" w:fill="FFFFFF"/>
        <w:spacing w:lineRule="auto" w:line="240" w:before="0" w:after="0"/>
        <w:jc w:val="both"/>
        <w:rPr>
          <w:rFonts w:ascii="Times New Roman" w:hAnsi="Times New Roman" w:eastAsia="Times New Roman" w:cs="Times New Roman"/>
          <w:w w:val="96"/>
          <w:sz w:val="24"/>
          <w:szCs w:val="24"/>
          <w:lang w:eastAsia="ru-RU"/>
        </w:rPr>
      </w:pPr>
      <w:r>
        <w:rPr>
          <w:rFonts w:eastAsia="Times New Roman" w:cs="Times New Roman" w:ascii="Times New Roman" w:hAnsi="Times New Roman"/>
          <w:w w:val="96"/>
          <w:sz w:val="24"/>
          <w:szCs w:val="24"/>
          <w:lang w:eastAsia="ru-RU"/>
        </w:rPr>
        <w:t>Обязательно </w:t>
      </w:r>
      <w:r>
        <w:rPr>
          <w:rFonts w:eastAsia="Times New Roman" w:cs="Times New Roman" w:ascii="Times New Roman" w:hAnsi="Times New Roman"/>
          <w:b/>
          <w:bCs/>
          <w:w w:val="96"/>
          <w:sz w:val="24"/>
          <w:szCs w:val="24"/>
          <w:lang w:eastAsia="ru-RU"/>
        </w:rPr>
        <w:t xml:space="preserve">наличие аннотации </w:t>
      </w:r>
      <w:r>
        <w:rPr>
          <w:rFonts w:eastAsia="Times New Roman" w:cs="Times New Roman" w:ascii="Times New Roman" w:hAnsi="Times New Roman"/>
          <w:w w:val="96"/>
          <w:sz w:val="24"/>
          <w:szCs w:val="24"/>
          <w:lang w:eastAsia="ru-RU"/>
        </w:rPr>
        <w:t>(до 300 знаков) и</w:t>
      </w:r>
      <w:r>
        <w:rPr>
          <w:rFonts w:eastAsia="Times New Roman" w:cs="Times New Roman" w:ascii="Times New Roman" w:hAnsi="Times New Roman"/>
          <w:b/>
          <w:bCs/>
          <w:w w:val="96"/>
          <w:sz w:val="24"/>
          <w:szCs w:val="24"/>
          <w:lang w:eastAsia="ru-RU"/>
        </w:rPr>
        <w:t xml:space="preserve"> ключевых слов.</w:t>
      </w:r>
    </w:p>
    <w:p>
      <w:pPr>
        <w:pStyle w:val="ListParagraph"/>
        <w:numPr>
          <w:ilvl w:val="0"/>
          <w:numId w:val="1"/>
        </w:numPr>
        <w:shd w:val="clear" w:color="auto" w:fill="FFFFFF"/>
        <w:spacing w:lineRule="auto" w:line="240" w:before="0" w:after="0"/>
        <w:contextualSpacing/>
        <w:jc w:val="both"/>
        <w:rPr>
          <w:rFonts w:ascii="Times New Roman" w:hAnsi="Times New Roman" w:eastAsia="Times New Roman" w:cs="Times New Roman"/>
          <w:w w:val="96"/>
          <w:sz w:val="24"/>
          <w:szCs w:val="24"/>
          <w:lang w:eastAsia="ru-RU"/>
        </w:rPr>
      </w:pPr>
      <w:r>
        <w:rPr>
          <w:rFonts w:eastAsia="Times New Roman" w:cs="Times New Roman" w:ascii="Times New Roman" w:hAnsi="Times New Roman"/>
          <w:w w:val="96"/>
          <w:sz w:val="24"/>
          <w:szCs w:val="24"/>
          <w:lang w:eastAsia="ru-RU"/>
        </w:rPr>
        <w:t xml:space="preserve">В электронном виде тексты должны быть выполнены в формате MS Word, гарнитура Times New Roman, шрифтом 12 пт; без переносов слов, с выравниванием по ширине, междустрочный интервал по умолчанию (1,15), абзацный отступ – 1,0 см, размеры полей со всех сторон – 2 см. Заголовок и текст статьи выполняются прямым шрифтом, аннотация и ключевые слова – курсивом. Объём представляемых текстов с учетом заголовка, аннотации, списка литературы (с пробелами): для пленарного доклада – до 5 страниц (15 тыс. знаков), для секционного доклада – до 3 страниц (10 тыс. знаков) </w:t>
      </w:r>
    </w:p>
    <w:p>
      <w:pPr>
        <w:pStyle w:val="ListParagraph"/>
        <w:numPr>
          <w:ilvl w:val="0"/>
          <w:numId w:val="1"/>
        </w:numPr>
        <w:shd w:val="clear" w:color="auto" w:fill="FFFFFF"/>
        <w:spacing w:lineRule="auto" w:line="240" w:before="0" w:after="0"/>
        <w:contextualSpacing/>
        <w:jc w:val="both"/>
        <w:rPr>
          <w:rFonts w:ascii="Times New Roman" w:hAnsi="Times New Roman" w:eastAsia="Times New Roman" w:cs="Times New Roman"/>
          <w:w w:val="96"/>
          <w:sz w:val="24"/>
          <w:szCs w:val="24"/>
          <w:lang w:eastAsia="ru-RU"/>
        </w:rPr>
      </w:pPr>
      <w:r>
        <w:rPr>
          <w:rFonts w:eastAsia="Times New Roman" w:cs="Times New Roman" w:ascii="Times New Roman" w:hAnsi="Times New Roman"/>
          <w:w w:val="96"/>
          <w:sz w:val="24"/>
          <w:szCs w:val="24"/>
          <w:lang w:eastAsia="ru-RU"/>
        </w:rPr>
        <w:t xml:space="preserve">Инициалы и фамилии авторов печатаются с интервалами </w:t>
      </w:r>
      <w:r>
        <w:rPr>
          <w:rFonts w:cs="Times New Roman" w:ascii="Times New Roman" w:hAnsi="Times New Roman"/>
          <w:w w:val="96"/>
          <w:sz w:val="24"/>
          <w:szCs w:val="24"/>
        </w:rPr>
        <w:t xml:space="preserve">жирным курсивом с указанием </w:t>
      </w:r>
      <w:r>
        <w:rPr>
          <w:rFonts w:cs="Times New Roman" w:ascii="Times New Roman" w:hAnsi="Times New Roman"/>
          <w:w w:val="96"/>
          <w:sz w:val="24"/>
          <w:szCs w:val="24"/>
          <w:lang w:val="en-US"/>
        </w:rPr>
        <w:t>e</w:t>
      </w:r>
      <w:r>
        <w:rPr>
          <w:rFonts w:cs="Times New Roman" w:ascii="Times New Roman" w:hAnsi="Times New Roman"/>
          <w:w w:val="96"/>
          <w:sz w:val="24"/>
          <w:szCs w:val="24"/>
        </w:rPr>
        <w:t>-</w:t>
      </w:r>
      <w:r>
        <w:rPr>
          <w:rFonts w:cs="Times New Roman" w:ascii="Times New Roman" w:hAnsi="Times New Roman"/>
          <w:w w:val="96"/>
          <w:sz w:val="24"/>
          <w:szCs w:val="24"/>
          <w:lang w:val="en-US"/>
        </w:rPr>
        <w:t>mail</w:t>
      </w:r>
      <w:r>
        <w:rPr>
          <w:rFonts w:eastAsia="Times New Roman" w:cs="Times New Roman" w:ascii="Times New Roman" w:hAnsi="Times New Roman"/>
          <w:w w:val="96"/>
          <w:sz w:val="24"/>
          <w:szCs w:val="24"/>
          <w:lang w:eastAsia="ru-RU"/>
        </w:rPr>
        <w:t>;</w:t>
      </w:r>
    </w:p>
    <w:p>
      <w:pPr>
        <w:pStyle w:val="ListParagraph"/>
        <w:numPr>
          <w:ilvl w:val="0"/>
          <w:numId w:val="1"/>
        </w:numPr>
        <w:shd w:val="clear" w:color="auto" w:fill="FFFFFF"/>
        <w:spacing w:lineRule="auto" w:line="240" w:before="0" w:after="0"/>
        <w:contextualSpacing/>
        <w:jc w:val="both"/>
        <w:rPr>
          <w:rFonts w:ascii="Times New Roman" w:hAnsi="Times New Roman" w:eastAsia="Times New Roman" w:cs="Times New Roman"/>
          <w:w w:val="96"/>
          <w:sz w:val="24"/>
          <w:szCs w:val="24"/>
          <w:lang w:eastAsia="ru-RU"/>
        </w:rPr>
      </w:pPr>
      <w:r>
        <w:rPr>
          <w:rFonts w:eastAsia="Times New Roman" w:cs="Times New Roman" w:ascii="Times New Roman" w:hAnsi="Times New Roman"/>
          <w:w w:val="96"/>
          <w:sz w:val="24"/>
          <w:szCs w:val="24"/>
          <w:lang w:eastAsia="ru-RU"/>
        </w:rPr>
        <w:t>После названия статьи приводится сокращенное наименование организации (организаций), представляемой автором (авторами)</w:t>
      </w:r>
      <w:r>
        <w:rPr>
          <w:rFonts w:cs="Times New Roman" w:ascii="Times New Roman" w:hAnsi="Times New Roman"/>
          <w:w w:val="96"/>
          <w:sz w:val="24"/>
          <w:szCs w:val="24"/>
        </w:rPr>
        <w:t>,</w:t>
      </w:r>
      <w:r>
        <w:rPr>
          <w:rFonts w:cs="Times New Roman" w:ascii="Times New Roman" w:hAnsi="Times New Roman"/>
          <w:spacing w:val="-34"/>
          <w:w w:val="96"/>
          <w:sz w:val="24"/>
          <w:szCs w:val="24"/>
        </w:rPr>
        <w:t xml:space="preserve"> </w:t>
      </w:r>
      <w:r>
        <w:rPr>
          <w:rFonts w:cs="Times New Roman" w:ascii="Times New Roman" w:hAnsi="Times New Roman"/>
          <w:w w:val="96"/>
          <w:sz w:val="24"/>
          <w:szCs w:val="24"/>
        </w:rPr>
        <w:t>если авторы из разных учреждений, указывается верхним индексом арабскими цифрами после фамилии</w:t>
      </w:r>
    </w:p>
    <w:p>
      <w:pPr>
        <w:pStyle w:val="Normal"/>
        <w:numPr>
          <w:ilvl w:val="0"/>
          <w:numId w:val="1"/>
        </w:numPr>
        <w:shd w:val="clear" w:color="auto" w:fill="FFFFFF"/>
        <w:spacing w:lineRule="auto" w:line="240" w:before="0" w:after="0"/>
        <w:jc w:val="both"/>
        <w:rPr>
          <w:rFonts w:ascii="Times New Roman" w:hAnsi="Times New Roman" w:eastAsia="Times New Roman" w:cs="Times New Roman"/>
          <w:w w:val="96"/>
          <w:sz w:val="24"/>
          <w:szCs w:val="24"/>
          <w:lang w:eastAsia="ru-RU"/>
        </w:rPr>
      </w:pPr>
      <w:r>
        <w:rPr>
          <w:rFonts w:eastAsia="Times New Roman" w:cs="Times New Roman" w:ascii="Times New Roman" w:hAnsi="Times New Roman"/>
          <w:w w:val="96"/>
          <w:sz w:val="24"/>
          <w:szCs w:val="24"/>
          <w:lang w:eastAsia="ru-RU"/>
        </w:rPr>
        <w:t xml:space="preserve">Таблицы помещаются в тексте сразу после ссылки на них. Название и нумерация таблиц должны быть набраны обычным шрифтом, без специального форматирования. Выравнивание номера и названия таблицы по правому краю, без отступа. Таблицы отделяются от текста пустой строкой. Рисунки следует присылать отдельными файлами, содержащими в своем названии фамилию автора и номер рисунка латинскими буквами. Название файла формируется следующим образом: Ivanov_risl.jpg. Принимаются рисунки в форматах jgp, png или </w:t>
      </w:r>
      <w:r>
        <w:rPr>
          <w:rFonts w:eastAsia="Times New Roman" w:cs="Times New Roman" w:ascii="Times New Roman" w:hAnsi="Times New Roman"/>
          <w:w w:val="96"/>
          <w:sz w:val="24"/>
          <w:szCs w:val="24"/>
          <w:lang w:val="en-US" w:eastAsia="ru-RU"/>
        </w:rPr>
        <w:t>cdr</w:t>
      </w:r>
      <w:r>
        <w:rPr>
          <w:rFonts w:eastAsia="Times New Roman" w:cs="Times New Roman" w:ascii="Times New Roman" w:hAnsi="Times New Roman"/>
          <w:w w:val="96"/>
          <w:sz w:val="24"/>
          <w:szCs w:val="24"/>
          <w:lang w:eastAsia="ru-RU"/>
        </w:rPr>
        <w:t xml:space="preserve"> </w:t>
      </w:r>
      <w:bookmarkStart w:id="0" w:name="_Hlk157528438"/>
      <w:r>
        <w:rPr>
          <w:rFonts w:eastAsia="Times New Roman" w:cs="Times New Roman" w:ascii="Times New Roman" w:hAnsi="Times New Roman"/>
          <w:w w:val="96"/>
          <w:sz w:val="24"/>
          <w:szCs w:val="24"/>
          <w:lang w:eastAsia="ru-RU"/>
        </w:rPr>
        <w:t>с разрешением не ниже 300 dpi., без подрисуночных подписей</w:t>
      </w:r>
      <w:bookmarkEnd w:id="0"/>
      <w:r>
        <w:rPr>
          <w:rFonts w:eastAsia="Times New Roman" w:cs="Times New Roman" w:ascii="Times New Roman" w:hAnsi="Times New Roman"/>
          <w:w w:val="96"/>
          <w:sz w:val="24"/>
          <w:szCs w:val="24"/>
          <w:lang w:eastAsia="ru-RU"/>
        </w:rPr>
        <w:t xml:space="preserve">. </w:t>
      </w:r>
      <w:bookmarkStart w:id="1" w:name="_Hlk157528488"/>
      <w:r>
        <w:rPr>
          <w:rFonts w:eastAsia="Times New Roman" w:cs="Times New Roman" w:ascii="Times New Roman" w:hAnsi="Times New Roman"/>
          <w:w w:val="96"/>
          <w:sz w:val="24"/>
          <w:szCs w:val="24"/>
          <w:lang w:eastAsia="ru-RU"/>
        </w:rPr>
        <w:t xml:space="preserve">Ссылки на рисунки должны присутствовать в тексте тезисов – пример: рис. 1. </w:t>
      </w:r>
      <w:bookmarkEnd w:id="1"/>
      <w:r>
        <w:rPr>
          <w:rFonts w:eastAsia="Times New Roman" w:cs="Times New Roman" w:ascii="Times New Roman" w:hAnsi="Times New Roman"/>
          <w:w w:val="96"/>
          <w:sz w:val="24"/>
          <w:szCs w:val="24"/>
          <w:lang w:eastAsia="ru-RU"/>
        </w:rPr>
        <w:t xml:space="preserve">Не следует вставлять рисунки в текст. </w:t>
      </w:r>
      <w:bookmarkStart w:id="2" w:name="_Hlk157528689"/>
      <w:r>
        <w:rPr>
          <w:rFonts w:eastAsia="Times New Roman" w:cs="Times New Roman" w:ascii="Times New Roman" w:hAnsi="Times New Roman"/>
          <w:w w:val="96"/>
          <w:sz w:val="24"/>
          <w:szCs w:val="24"/>
          <w:lang w:eastAsia="ru-RU"/>
        </w:rPr>
        <w:t>Подрисуночные подписи приводятся после списка литературы или в отдельном файле.</w:t>
      </w:r>
      <w:bookmarkEnd w:id="2"/>
    </w:p>
    <w:p>
      <w:pPr>
        <w:pStyle w:val="Normal"/>
        <w:numPr>
          <w:ilvl w:val="0"/>
          <w:numId w:val="1"/>
        </w:numPr>
        <w:shd w:val="clear" w:color="auto" w:fill="FFFFFF"/>
        <w:spacing w:lineRule="auto" w:line="240" w:before="0" w:after="0"/>
        <w:jc w:val="both"/>
        <w:rPr>
          <w:rFonts w:ascii="Times New Roman" w:hAnsi="Times New Roman" w:eastAsia="Times New Roman" w:cs="Times New Roman"/>
          <w:w w:val="96"/>
          <w:sz w:val="24"/>
          <w:szCs w:val="24"/>
          <w:lang w:eastAsia="ru-RU"/>
        </w:rPr>
      </w:pPr>
      <w:r>
        <w:rPr>
          <w:rFonts w:eastAsia="Times New Roman" w:cs="Times New Roman" w:ascii="Times New Roman" w:hAnsi="Times New Roman"/>
          <w:w w:val="96"/>
          <w:sz w:val="24"/>
          <w:szCs w:val="24"/>
          <w:lang w:eastAsia="ru-RU"/>
        </w:rPr>
        <w:t>Для набора математических формул и символов рекомендуется использовать MS Equation 3.0 или формульный редактор MathType. Физические величины и единицы измерения должны соответствовать принятым в Международной системе единиц СИ. Все сокращения и аббревиатуры, за исключением общеупотребительных, расшифровываются при первом упоминании. Десятичный символ – запятая: 0,47; между цифрами ставится тире без пробелов: 5–10; кавычки — «елочки».</w:t>
      </w:r>
    </w:p>
    <w:p>
      <w:pPr>
        <w:pStyle w:val="Normal"/>
        <w:numPr>
          <w:ilvl w:val="0"/>
          <w:numId w:val="1"/>
        </w:numPr>
        <w:shd w:val="clear" w:color="auto" w:fill="FFFFFF"/>
        <w:spacing w:lineRule="auto" w:line="240" w:before="0" w:after="0"/>
        <w:jc w:val="both"/>
        <w:rPr>
          <w:rFonts w:ascii="Times New Roman" w:hAnsi="Times New Roman" w:eastAsia="Times New Roman" w:cs="Times New Roman"/>
          <w:w w:val="96"/>
          <w:sz w:val="24"/>
          <w:szCs w:val="24"/>
          <w:lang w:eastAsia="ru-RU"/>
        </w:rPr>
      </w:pPr>
      <w:r>
        <w:rPr>
          <w:rFonts w:eastAsia="Times New Roman" w:cs="Times New Roman" w:ascii="Times New Roman" w:hAnsi="Times New Roman"/>
          <w:w w:val="96"/>
          <w:sz w:val="24"/>
          <w:szCs w:val="24"/>
          <w:lang w:eastAsia="ru-RU"/>
        </w:rPr>
        <w:t>Буква «ё» в тексте не указывается, за исключением имен собственных.</w:t>
      </w:r>
    </w:p>
    <w:p>
      <w:pPr>
        <w:pStyle w:val="Normal"/>
        <w:numPr>
          <w:ilvl w:val="0"/>
          <w:numId w:val="1"/>
        </w:numPr>
        <w:shd w:val="clear" w:color="auto" w:fill="FFFFFF"/>
        <w:spacing w:lineRule="auto" w:line="240" w:before="0" w:after="0"/>
        <w:jc w:val="both"/>
        <w:rPr>
          <w:rFonts w:ascii="Times New Roman" w:hAnsi="Times New Roman" w:eastAsia="Times New Roman" w:cs="Times New Roman"/>
          <w:w w:val="96"/>
          <w:sz w:val="24"/>
          <w:szCs w:val="24"/>
          <w:lang w:eastAsia="ru-RU"/>
        </w:rPr>
      </w:pPr>
      <w:r>
        <w:rPr>
          <w:rFonts w:eastAsia="Times New Roman" w:cs="Times New Roman" w:ascii="Times New Roman" w:hAnsi="Times New Roman"/>
          <w:w w:val="96"/>
          <w:sz w:val="24"/>
          <w:szCs w:val="24"/>
          <w:lang w:eastAsia="ru-RU"/>
        </w:rPr>
        <w:t>Информация об источнике финансирования исследований (при необходимости) приводится СРАЗУ после названия тезисов; шрифт курсивный – например:</w:t>
        <w:br/>
      </w:r>
      <w:r>
        <w:rPr>
          <w:rFonts w:eastAsia="Times New Roman" w:cs="Times New Roman" w:ascii="Times New Roman" w:hAnsi="Times New Roman"/>
          <w:i/>
          <w:iCs/>
          <w:w w:val="96"/>
          <w:sz w:val="24"/>
          <w:szCs w:val="24"/>
          <w:lang w:eastAsia="ru-RU"/>
        </w:rPr>
        <w:t>Исследования выполнены в рамках Государственного задания ИГГ УрО РАН, тема № ХХХХ-Х55–55555555–4</w:t>
      </w:r>
      <w:r>
        <w:rPr>
          <w:rFonts w:eastAsia="Times New Roman" w:cs="Times New Roman" w:ascii="Times New Roman" w:hAnsi="Times New Roman"/>
          <w:w w:val="96"/>
          <w:sz w:val="24"/>
          <w:szCs w:val="24"/>
          <w:lang w:eastAsia="ru-RU"/>
        </w:rPr>
        <w:t>.</w:t>
      </w:r>
    </w:p>
    <w:p>
      <w:pPr>
        <w:pStyle w:val="Normal"/>
        <w:numPr>
          <w:ilvl w:val="0"/>
          <w:numId w:val="1"/>
        </w:numPr>
        <w:shd w:val="clear" w:color="auto" w:fill="FFFFFF"/>
        <w:spacing w:lineRule="auto" w:line="240" w:before="0" w:after="0"/>
        <w:jc w:val="both"/>
        <w:rPr>
          <w:rFonts w:ascii="Times New Roman" w:hAnsi="Times New Roman" w:eastAsia="Times New Roman" w:cs="Times New Roman"/>
          <w:w w:val="96"/>
          <w:sz w:val="24"/>
          <w:szCs w:val="24"/>
          <w:lang w:eastAsia="ru-RU"/>
        </w:rPr>
      </w:pPr>
      <w:r>
        <w:rPr>
          <w:rFonts w:eastAsia="Times New Roman" w:cs="Times New Roman" w:ascii="Times New Roman" w:hAnsi="Times New Roman"/>
          <w:w w:val="96"/>
          <w:sz w:val="24"/>
          <w:szCs w:val="24"/>
          <w:lang w:eastAsia="ru-RU"/>
        </w:rPr>
        <w:t>Список литературы приводится в конце статьи с нумерацией источников по алфавиту. Иностранная литература помещается после отечественной. Ссылки в тексте на источник даются соответствующим порядковым номером в квадратных скобках – например: [2], [1, 2], [4–6].</w:t>
      </w:r>
    </w:p>
    <w:p>
      <w:pPr>
        <w:pStyle w:val="Normal"/>
        <w:shd w:val="clear" w:color="auto" w:fill="FFFFFF"/>
        <w:spacing w:lineRule="auto" w:line="240" w:before="0" w:after="0"/>
        <w:ind w:left="709"/>
        <w:jc w:val="both"/>
        <w:rPr>
          <w:rFonts w:ascii="Times New Roman" w:hAnsi="Times New Roman" w:eastAsia="Times New Roman" w:cs="Times New Roman"/>
          <w:w w:val="96"/>
          <w:sz w:val="24"/>
          <w:szCs w:val="24"/>
          <w:lang w:eastAsia="ru-RU"/>
        </w:rPr>
      </w:pPr>
      <w:r>
        <w:rPr>
          <w:rFonts w:eastAsia="Times New Roman" w:cs="Times New Roman" w:ascii="Times New Roman" w:hAnsi="Times New Roman"/>
          <w:w w:val="96"/>
          <w:sz w:val="24"/>
          <w:szCs w:val="24"/>
          <w:lang w:eastAsia="ru-RU"/>
        </w:rPr>
        <w:t>Ссылки на неопубликованные источники при необходимости приводятся в тексте в круглых скобках – например: (Росгеолфонд. Геологический отчет № 6221, 1979. Л. 175–177) (РГАЭ. Ф. 17 Оп. 133 Д. 266 Л. 20–25)</w:t>
      </w:r>
      <w:r>
        <w:br w:type="page"/>
      </w:r>
    </w:p>
    <w:p>
      <w:pPr>
        <w:pStyle w:val="Normal"/>
        <w:spacing w:before="0" w:after="160"/>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Образец оформления</w:t>
      </w:r>
    </w:p>
    <w:p>
      <w:pPr>
        <w:pStyle w:val="Normal"/>
        <w:shd w:val="clear" w:color="auto" w:fill="FFFFFF"/>
        <w:spacing w:lineRule="auto" w:line="240" w:before="0" w:after="0"/>
        <w:jc w:val="center"/>
        <w:rPr>
          <w:rFonts w:ascii="Times New Roman" w:hAnsi="Times New Roman" w:eastAsia="Times New Roman" w:cs="Times New Roman"/>
          <w:i/>
          <w:i/>
          <w:iCs/>
          <w:sz w:val="24"/>
          <w:szCs w:val="24"/>
          <w:lang w:eastAsia="ru-RU"/>
        </w:rPr>
      </w:pPr>
      <w:r>
        <w:rPr>
          <w:rFonts w:eastAsia="Times New Roman" w:cs="Times New Roman" w:ascii="Times New Roman" w:hAnsi="Times New Roman"/>
          <w:b/>
          <w:bCs/>
          <w:i/>
          <w:iCs/>
          <w:sz w:val="24"/>
          <w:szCs w:val="24"/>
          <w:lang w:eastAsia="ru-RU"/>
        </w:rPr>
        <w:t>Ш. Х. Омс </w:t>
      </w:r>
      <w:r>
        <w:rPr>
          <w:rFonts w:eastAsia="Times New Roman" w:cs="Times New Roman" w:ascii="Times New Roman" w:hAnsi="Times New Roman"/>
          <w:b/>
          <w:bCs/>
          <w:i/>
          <w:iCs/>
          <w:sz w:val="24"/>
          <w:szCs w:val="24"/>
          <w:vertAlign w:val="superscript"/>
          <w:lang w:eastAsia="ru-RU"/>
        </w:rPr>
        <w:t>1</w:t>
      </w:r>
      <w:r>
        <w:rPr>
          <w:rFonts w:eastAsia="Times New Roman" w:cs="Times New Roman" w:ascii="Times New Roman" w:hAnsi="Times New Roman"/>
          <w:b/>
          <w:bCs/>
          <w:i/>
          <w:iCs/>
          <w:sz w:val="24"/>
          <w:szCs w:val="24"/>
          <w:lang w:eastAsia="ru-RU"/>
        </w:rPr>
        <w:t>(</w:t>
      </w:r>
      <w:r>
        <w:rPr>
          <w:rFonts w:eastAsia="Times New Roman" w:cs="Times New Roman" w:ascii="Times New Roman" w:hAnsi="Times New Roman"/>
          <w:b/>
          <w:bCs/>
          <w:i/>
          <w:iCs/>
          <w:sz w:val="24"/>
          <w:szCs w:val="24"/>
          <w:lang w:val="en-US" w:eastAsia="ru-RU"/>
        </w:rPr>
        <w:t>elementarno</w:t>
      </w:r>
      <w:r>
        <w:rPr>
          <w:rFonts w:eastAsia="Times New Roman" w:cs="Times New Roman" w:ascii="Times New Roman" w:hAnsi="Times New Roman"/>
          <w:b/>
          <w:bCs/>
          <w:i/>
          <w:iCs/>
          <w:sz w:val="24"/>
          <w:szCs w:val="24"/>
          <w:lang w:eastAsia="ru-RU"/>
        </w:rPr>
        <w:t>@</w:t>
      </w:r>
      <w:r>
        <w:rPr>
          <w:rFonts w:eastAsia="Times New Roman" w:cs="Times New Roman" w:ascii="Times New Roman" w:hAnsi="Times New Roman"/>
          <w:b/>
          <w:bCs/>
          <w:i/>
          <w:iCs/>
          <w:sz w:val="24"/>
          <w:szCs w:val="24"/>
          <w:lang w:val="en-US" w:eastAsia="ru-RU"/>
        </w:rPr>
        <w:t>tsnigri</w:t>
      </w:r>
      <w:r>
        <w:rPr>
          <w:rFonts w:eastAsia="Times New Roman" w:cs="Times New Roman" w:ascii="Times New Roman" w:hAnsi="Times New Roman"/>
          <w:b/>
          <w:bCs/>
          <w:i/>
          <w:iCs/>
          <w:sz w:val="24"/>
          <w:szCs w:val="24"/>
          <w:lang w:eastAsia="ru-RU"/>
        </w:rPr>
        <w:t>.</w:t>
      </w:r>
      <w:r>
        <w:rPr>
          <w:rFonts w:eastAsia="Times New Roman" w:cs="Times New Roman" w:ascii="Times New Roman" w:hAnsi="Times New Roman"/>
          <w:b/>
          <w:bCs/>
          <w:i/>
          <w:iCs/>
          <w:sz w:val="24"/>
          <w:szCs w:val="24"/>
          <w:lang w:val="en-US" w:eastAsia="ru-RU"/>
        </w:rPr>
        <w:t>ru</w:t>
      </w:r>
      <w:r>
        <w:rPr>
          <w:rFonts w:eastAsia="Times New Roman" w:cs="Times New Roman" w:ascii="Times New Roman" w:hAnsi="Times New Roman"/>
          <w:b/>
          <w:bCs/>
          <w:i/>
          <w:iCs/>
          <w:sz w:val="24"/>
          <w:szCs w:val="24"/>
          <w:lang w:eastAsia="ru-RU"/>
        </w:rPr>
        <w:t>), В. А. Тсон </w:t>
      </w:r>
      <w:r>
        <w:rPr>
          <w:rFonts w:eastAsia="Times New Roman" w:cs="Times New Roman" w:ascii="Times New Roman" w:hAnsi="Times New Roman"/>
          <w:b/>
          <w:bCs/>
          <w:i/>
          <w:iCs/>
          <w:sz w:val="24"/>
          <w:szCs w:val="24"/>
          <w:vertAlign w:val="superscript"/>
          <w:lang w:eastAsia="ru-RU"/>
        </w:rPr>
        <w:t xml:space="preserve">2 </w:t>
      </w:r>
      <w:r>
        <w:rPr>
          <w:rFonts w:eastAsia="Times New Roman" w:cs="Times New Roman" w:ascii="Times New Roman" w:hAnsi="Times New Roman"/>
          <w:b/>
          <w:bCs/>
          <w:i/>
          <w:iCs/>
          <w:sz w:val="24"/>
          <w:szCs w:val="24"/>
          <w:lang w:eastAsia="ru-RU"/>
        </w:rPr>
        <w:t>(</w:t>
      </w:r>
      <w:r>
        <w:rPr>
          <w:rFonts w:eastAsia="Times New Roman" w:cs="Times New Roman" w:ascii="Times New Roman" w:hAnsi="Times New Roman"/>
          <w:b/>
          <w:bCs/>
          <w:i/>
          <w:iCs/>
          <w:sz w:val="24"/>
          <w:szCs w:val="24"/>
          <w:lang w:val="en-US" w:eastAsia="ru-RU"/>
        </w:rPr>
        <w:t>nokakholms</w:t>
      </w:r>
      <w:r>
        <w:rPr>
          <w:rFonts w:eastAsia="Times New Roman" w:cs="Times New Roman" w:ascii="Times New Roman" w:hAnsi="Times New Roman"/>
          <w:b/>
          <w:bCs/>
          <w:i/>
          <w:iCs/>
          <w:sz w:val="24"/>
          <w:szCs w:val="24"/>
          <w:lang w:eastAsia="ru-RU"/>
        </w:rPr>
        <w:t>@</w:t>
      </w:r>
      <w:r>
        <w:rPr>
          <w:rFonts w:eastAsia="Times New Roman" w:cs="Times New Roman" w:ascii="Times New Roman" w:hAnsi="Times New Roman"/>
          <w:b/>
          <w:bCs/>
          <w:i/>
          <w:iCs/>
          <w:sz w:val="24"/>
          <w:szCs w:val="24"/>
          <w:lang w:val="en-US" w:eastAsia="ru-RU"/>
        </w:rPr>
        <w:t>mail</w:t>
      </w:r>
      <w:r>
        <w:rPr>
          <w:rFonts w:eastAsia="Times New Roman" w:cs="Times New Roman" w:ascii="Times New Roman" w:hAnsi="Times New Roman"/>
          <w:b/>
          <w:bCs/>
          <w:i/>
          <w:iCs/>
          <w:sz w:val="24"/>
          <w:szCs w:val="24"/>
          <w:lang w:eastAsia="ru-RU"/>
        </w:rPr>
        <w:t>.</w:t>
      </w:r>
      <w:r>
        <w:rPr>
          <w:rFonts w:eastAsia="Times New Roman" w:cs="Times New Roman" w:ascii="Times New Roman" w:hAnsi="Times New Roman"/>
          <w:b/>
          <w:bCs/>
          <w:i/>
          <w:iCs/>
          <w:sz w:val="24"/>
          <w:szCs w:val="24"/>
          <w:lang w:val="en-US" w:eastAsia="ru-RU"/>
        </w:rPr>
        <w:t>ru</w:t>
      </w:r>
      <w:r>
        <w:rPr>
          <w:rFonts w:eastAsia="Times New Roman" w:cs="Times New Roman" w:ascii="Times New Roman" w:hAnsi="Times New Roman"/>
          <w:b/>
          <w:bCs/>
          <w:i/>
          <w:iCs/>
          <w:sz w:val="24"/>
          <w:szCs w:val="24"/>
          <w:lang w:eastAsia="ru-RU"/>
        </w:rPr>
        <w:t>)</w:t>
      </w:r>
    </w:p>
    <w:p>
      <w:pPr>
        <w:pStyle w:val="Normal"/>
        <w:numPr>
          <w:ilvl w:val="0"/>
          <w:numId w:val="0"/>
        </w:numPr>
        <w:shd w:val="clear" w:color="auto" w:fill="FFFFFF"/>
        <w:spacing w:lineRule="auto" w:line="240" w:before="300" w:after="150"/>
        <w:ind w:hanging="0" w:left="0"/>
        <w:jc w:val="center"/>
        <w:outlineLvl w:val="5"/>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t>ГИДРОГЕОЛОГИЧЕСКИЕ ОСОБЕННОСТИ ГРИМПЕНСКОЙ ТРЯСИНЫ, ГРАФСТВО ДЕВОНШИР</w:t>
      </w:r>
    </w:p>
    <w:p>
      <w:pPr>
        <w:pStyle w:val="Normal"/>
        <w:shd w:val="clear" w:color="auto" w:fill="FFFFFF"/>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vertAlign w:val="superscript"/>
          <w:lang w:eastAsia="ru-RU"/>
        </w:rPr>
        <w:t>1</w:t>
      </w:r>
      <w:r>
        <w:rPr>
          <w:rFonts w:eastAsia="Times New Roman" w:cs="Times New Roman" w:ascii="Times New Roman" w:hAnsi="Times New Roman"/>
          <w:sz w:val="24"/>
          <w:szCs w:val="24"/>
          <w:lang w:eastAsia="ru-RU"/>
        </w:rPr>
        <w:t>ФГБУ «ЦНИГРИ», г. Москва,</w:t>
      </w:r>
    </w:p>
    <w:p>
      <w:pPr>
        <w:pStyle w:val="Normal"/>
        <w:shd w:val="clear" w:color="auto" w:fill="FFFFFF"/>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vertAlign w:val="superscript"/>
          <w:lang w:eastAsia="ru-RU"/>
        </w:rPr>
        <w:t>2</w:t>
      </w:r>
      <w:r>
        <w:rPr>
          <w:rFonts w:eastAsia="Times New Roman" w:cs="Times New Roman" w:ascii="Times New Roman" w:hAnsi="Times New Roman"/>
          <w:sz w:val="24"/>
          <w:szCs w:val="24"/>
          <w:lang w:eastAsia="ru-RU"/>
        </w:rPr>
        <w:t> ФГБУН «ИВиС» ДВО РАН, г. Петропавловск-Камчатский</w:t>
      </w:r>
    </w:p>
    <w:p>
      <w:pPr>
        <w:pStyle w:val="Normal"/>
        <w:shd w:val="clear" w:color="auto" w:fill="FFFFFF"/>
        <w:spacing w:lineRule="auto" w:line="240" w:before="0" w:after="0"/>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24"/>
          <w:szCs w:val="24"/>
          <w:lang w:eastAsia="ru-RU"/>
        </w:rPr>
      </w:r>
    </w:p>
    <w:p>
      <w:pPr>
        <w:pStyle w:val="Normal"/>
        <w:shd w:val="clear" w:color="auto" w:fill="FFFFFF"/>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i/>
          <w:iCs/>
          <w:sz w:val="24"/>
          <w:szCs w:val="24"/>
          <w:lang w:eastAsia="ru-RU"/>
        </w:rPr>
        <w:t>Аннотация</w:t>
      </w:r>
    </w:p>
    <w:p>
      <w:pPr>
        <w:pStyle w:val="Normal"/>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iCs/>
          <w:sz w:val="24"/>
          <w:szCs w:val="24"/>
          <w:lang w:eastAsia="ru-RU"/>
        </w:rPr>
        <w:t>Слово, слово, слово, слово, слово, слово, слово, слово, слово, слово, слово, слово, слово. слово, слово, слово, слово, слово, слово, слово, слово, слово, слово, слово, слово, слово, слово, слово, слово, слово, слово, слово, слово, слово, слово, слово, слово, слово, слово</w:t>
      </w:r>
    </w:p>
    <w:p>
      <w:pPr>
        <w:pStyle w:val="Normal"/>
        <w:shd w:val="clear" w:color="auto" w:fill="FFFFFF"/>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i/>
          <w:iCs/>
          <w:sz w:val="24"/>
          <w:szCs w:val="24"/>
          <w:lang w:eastAsia="ru-RU"/>
        </w:rPr>
        <w:t>Ключевые слова:</w:t>
      </w:r>
    </w:p>
    <w:p>
      <w:pPr>
        <w:pStyle w:val="Normal"/>
        <w:shd w:val="clear" w:color="auto" w:fill="FFFFFF"/>
        <w:spacing w:lineRule="auto" w:line="240" w:before="0" w:after="0"/>
        <w:jc w:val="both"/>
        <w:rPr>
          <w:rFonts w:ascii="Times New Roman" w:hAnsi="Times New Roman" w:eastAsia="Times New Roman" w:cs="Times New Roman"/>
          <w:i/>
          <w:i/>
          <w:iCs/>
          <w:sz w:val="24"/>
          <w:szCs w:val="24"/>
          <w:lang w:eastAsia="ru-RU"/>
        </w:rPr>
      </w:pPr>
      <w:r>
        <w:rPr>
          <w:rFonts w:eastAsia="Times New Roman" w:cs="Times New Roman" w:ascii="Times New Roman" w:hAnsi="Times New Roman"/>
          <w:i/>
          <w:iCs/>
          <w:sz w:val="24"/>
          <w:szCs w:val="24"/>
          <w:lang w:eastAsia="ru-RU"/>
        </w:rPr>
        <w:t>Слово, слово, слово, слово, слово, слово, слово, слово, слово, слово, слово, слово, слово слово, слово, слово, слово, слово, слово, слово</w:t>
      </w:r>
    </w:p>
    <w:p>
      <w:pPr>
        <w:pStyle w:val="Normal"/>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Текст, текст, текст, текст, текст, текст, текст, текст, текст, текст, текст, текст, текст, текст, текст, текст, текст</w:t>
      </w:r>
    </w:p>
    <w:p>
      <w:pPr>
        <w:pStyle w:val="Normal"/>
        <w:shd w:val="clear" w:color="auto" w:fill="FFFFFF"/>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hd w:val="clear" w:color="auto" w:fill="FFFFFF"/>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Таблица 1</w:t>
      </w:r>
    </w:p>
    <w:p>
      <w:pPr>
        <w:pStyle w:val="Normal"/>
        <w:shd w:val="clear" w:color="auto" w:fill="FFFFFF"/>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Название таблицы</w:t>
      </w:r>
    </w:p>
    <w:tbl>
      <w:tblPr>
        <w:tblW w:w="9348" w:type="dxa"/>
        <w:jc w:val="left"/>
        <w:tblInd w:w="0" w:type="dxa"/>
        <w:tblLayout w:type="fixed"/>
        <w:tblCellMar>
          <w:top w:w="150" w:type="dxa"/>
          <w:left w:w="300" w:type="dxa"/>
          <w:bottom w:w="150" w:type="dxa"/>
          <w:right w:w="300" w:type="dxa"/>
        </w:tblCellMar>
        <w:tblLook w:val="04a0" w:noHBand="0" w:noVBand="1" w:firstColumn="1" w:lastRow="0" w:lastColumn="0" w:firstRow="1"/>
      </w:tblPr>
      <w:tblGrid>
        <w:gridCol w:w="4812"/>
        <w:gridCol w:w="4535"/>
      </w:tblGrid>
      <w:tr>
        <w:trPr>
          <w:trHeight w:val="435" w:hRule="atLeast"/>
        </w:trPr>
        <w:tc>
          <w:tcPr>
            <w:tcW w:w="4812" w:type="dxa"/>
            <w:tcBorders>
              <w:top w:val="single" w:sz="6" w:space="0" w:color="EAEAEA"/>
              <w:left w:val="single" w:sz="6" w:space="0" w:color="EAEAEA"/>
              <w:bottom w:val="single" w:sz="6" w:space="0" w:color="EAEAEA"/>
              <w:right w:val="single" w:sz="2" w:space="0" w:color="EAEAEA"/>
            </w:tcBorders>
            <w:shd w:color="auto" w:fill="F4F4F4" w:val="clear"/>
            <w:vAlign w:val="center"/>
          </w:tcPr>
          <w:p>
            <w:pPr>
              <w:pStyle w:val="Normal"/>
              <w:spacing w:lineRule="auto" w:line="240" w:before="0" w:after="0"/>
              <w:jc w:val="center"/>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t>Заголовок таблицы</w:t>
            </w:r>
          </w:p>
        </w:tc>
        <w:tc>
          <w:tcPr>
            <w:tcW w:w="4535" w:type="dxa"/>
            <w:tcBorders>
              <w:top w:val="single" w:sz="6" w:space="0" w:color="EAEAEA"/>
              <w:left w:val="single" w:sz="2" w:space="0" w:color="EAEAEA"/>
              <w:bottom w:val="single" w:sz="6" w:space="0" w:color="EAEAEA"/>
              <w:right w:val="single" w:sz="6" w:space="0" w:color="EAEAEA"/>
            </w:tcBorders>
            <w:shd w:color="auto" w:fill="F4F4F4" w:val="clear"/>
            <w:vAlign w:val="center"/>
          </w:tcPr>
          <w:p>
            <w:pPr>
              <w:pStyle w:val="Normal"/>
              <w:spacing w:lineRule="auto" w:line="240" w:before="0" w:after="0"/>
              <w:jc w:val="center"/>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t>Заголовок таблицы</w:t>
            </w:r>
          </w:p>
        </w:tc>
      </w:tr>
      <w:tr>
        <w:trPr/>
        <w:tc>
          <w:tcPr>
            <w:tcW w:w="4812" w:type="dxa"/>
            <w:tcBorders>
              <w:top w:val="single" w:sz="2" w:space="0" w:color="EAEAEA"/>
              <w:left w:val="single" w:sz="6" w:space="0" w:color="EAEAEA"/>
              <w:bottom w:val="single" w:sz="6" w:space="0" w:color="EAEAEA"/>
              <w:right w:val="single" w:sz="6" w:space="0" w:color="EAEAEA"/>
            </w:tcBorders>
            <w:shd w:color="auto" w:fill="FFFFFF"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Текст</w:t>
            </w:r>
          </w:p>
        </w:tc>
        <w:tc>
          <w:tcPr>
            <w:tcW w:w="4535" w:type="dxa"/>
            <w:tcBorders>
              <w:top w:val="single" w:sz="2" w:space="0" w:color="EAEAEA"/>
              <w:left w:val="single" w:sz="2" w:space="0" w:color="EAEAEA"/>
              <w:bottom w:val="single" w:sz="6" w:space="0" w:color="EAEAEA"/>
              <w:right w:val="single" w:sz="6" w:space="0" w:color="EAEAEA"/>
            </w:tcBorders>
            <w:shd w:color="auto" w:fill="FFFFFF"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Текст</w:t>
            </w:r>
          </w:p>
        </w:tc>
      </w:tr>
    </w:tbl>
    <w:p>
      <w:pPr>
        <w:pStyle w:val="Normal"/>
        <w:shd w:val="clear" w:color="auto" w:fill="FFFFFF"/>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Текст, текст, текст, текст, текст, текст, текст, текст, текст, текст, текст, текст текст, текст, текст, текст, текст</w:t>
      </w:r>
    </w:p>
    <w:p>
      <w:pPr>
        <w:pStyle w:val="Normal"/>
        <w:shd w:val="clear" w:color="auto" w:fill="FFFFFF"/>
        <w:spacing w:lineRule="auto" w:line="240" w:before="0" w:after="0"/>
        <w:jc w:val="center"/>
        <w:rPr>
          <w:rFonts w:ascii="Times New Roman" w:hAnsi="Times New Roman" w:eastAsia="Times New Roman" w:cs="Times New Roman"/>
          <w:sz w:val="24"/>
          <w:szCs w:val="24"/>
          <w:lang w:eastAsia="ru-RU"/>
        </w:rPr>
      </w:pPr>
      <w:r>
        <w:rPr/>
        <mc:AlternateContent>
          <mc:Choice Requires="wps">
            <w:drawing>
              <wp:inline distT="0" distB="0" distL="0" distR="0" wp14:anchorId="3E169BA2">
                <wp:extent cx="304800" cy="304800"/>
                <wp:effectExtent l="0" t="0" r="0" b="0"/>
                <wp:docPr id="1" name="Прямоугольник 1"/>
                <a:graphic xmlns:a="http://schemas.openxmlformats.org/drawingml/2006/main">
                  <a:graphicData uri="http://schemas.microsoft.com/office/word/2010/wordprocessingShape">
                    <wps:wsp>
                      <wps:cNvSpPr/>
                      <wps:spPr>
                        <a:xfrm>
                          <a:off x="0" y="0"/>
                          <a:ext cx="304920" cy="304920"/>
                        </a:xfrm>
                        <a:prstGeom prst="rect">
                          <a:avLst/>
                        </a:prstGeom>
                        <a:noFill/>
                        <a:ln w="0">
                          <a:noFill/>
                        </a:ln>
                      </wps:spPr>
                      <wps:style>
                        <a:lnRef idx="0"/>
                        <a:fillRef idx="0"/>
                        <a:effectRef idx="0"/>
                        <a:fontRef idx="minor"/>
                      </wps:style>
                      <wps:bodyPr/>
                    </wps:wsp>
                  </a:graphicData>
                </a:graphic>
              </wp:inline>
            </w:drawing>
          </mc:Choice>
          <mc:Fallback>
            <w:pict>
              <v:rect id="shape_0" ID="Прямоугольник 1" path="m0,0l-2147483645,0l-2147483645,-2147483646l0,-2147483646xe" stroked="f" o:allowincell="f" style="position:absolute;margin-left:0pt;margin-top:-24.05pt;width:23.95pt;height:23.95pt;mso-wrap-style:none;v-text-anchor:middle;mso-position-vertical:top" wp14:anchorId="3E169BA2">
                <v:fill o:detectmouseclick="t" on="false"/>
                <v:stroke color="#3465a4" joinstyle="round" endcap="flat"/>
                <w10:wrap type="square"/>
              </v:rect>
            </w:pict>
          </mc:Fallback>
        </mc:AlternateContent>
      </w:r>
    </w:p>
    <w:p>
      <w:pPr>
        <w:pStyle w:val="Normal"/>
        <w:shd w:val="clear" w:color="auto" w:fill="FFFFFF"/>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Рис. 1. Название рисунка</w:t>
      </w:r>
    </w:p>
    <w:p>
      <w:pPr>
        <w:pStyle w:val="Normal"/>
        <w:shd w:val="clear" w:color="auto" w:fill="FFFFFF"/>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p>
      <w:pPr>
        <w:pStyle w:val="Normal"/>
        <w:shd w:val="clear" w:color="auto" w:fill="FFFFFF"/>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p>
      <w:pPr>
        <w:pStyle w:val="Normal"/>
        <w:shd w:val="clear" w:color="auto" w:fill="FFFFFF"/>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i/>
          <w:iCs/>
          <w:sz w:val="24"/>
          <w:szCs w:val="24"/>
          <w:lang w:eastAsia="ru-RU"/>
        </w:rPr>
        <w:t>Список литературы:</w:t>
      </w:r>
    </w:p>
    <w:p>
      <w:pPr>
        <w:pStyle w:val="Normal"/>
        <w:numPr>
          <w:ilvl w:val="0"/>
          <w:numId w:val="2"/>
        </w:numPr>
        <w:shd w:val="clear" w:color="auto" w:fill="FFFFFF"/>
        <w:spacing w:lineRule="auto" w:line="240" w:beforeAutospacing="1"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Зоненшайн Л. П., Кузьмин М. И., Натапов Л. М. Тектоника литосферных плит территории СССР. Т. 2. – М. : Недра, 1990. – 334 с.</w:t>
      </w:r>
    </w:p>
    <w:p>
      <w:pPr>
        <w:pStyle w:val="Normal"/>
        <w:numPr>
          <w:ilvl w:val="0"/>
          <w:numId w:val="2"/>
        </w:numPr>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Кузьмин М. И., Ярмолюк В. В. Мантийные плюмы Северо-Восточной Азии и их роль в формировании эндогенных месторождений // Геология и геофизика. – 2014. – Т. 55, № 2. – С. 153–184.</w:t>
      </w:r>
    </w:p>
    <w:p>
      <w:pPr>
        <w:pStyle w:val="Normal"/>
        <w:numPr>
          <w:ilvl w:val="0"/>
          <w:numId w:val="2"/>
        </w:numPr>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Мамедов В. И., Макарова М. А., Боева Н. М. Пространственная и генетическая связь бемитовых бокситов с осадочно-латеритными бокситами Фута Джалон-Мандинго (Западная Африка) // Породо-, минерало- и рудообразование: достижения и перспективы исследований. Труды к 90-летию ИГЕМ РАН. – М. : ИГЕМ РАН, 2020. – С. 868–872</w:t>
      </w:r>
    </w:p>
    <w:p>
      <w:pPr>
        <w:pStyle w:val="Normal"/>
        <w:numPr>
          <w:ilvl w:val="0"/>
          <w:numId w:val="2"/>
        </w:numPr>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Легенда Анабаро-Вилюйской серии листов Государственной геологической карты РФ масштаба 1 : 1 000 000 (третье поколение). Объяснительная записка / гл. ред. Мащак М. С ; сост. Мащак М. С., Кропачев А. П., Сотникова Г. Г., Сметанникова Л. И., Чеканов В. И., Оленникова Е. В. – СПб. : ВСЕГЕИ, 2009. – 60 с.</w:t>
      </w:r>
    </w:p>
    <w:p>
      <w:pPr>
        <w:pStyle w:val="Normal"/>
        <w:numPr>
          <w:ilvl w:val="0"/>
          <w:numId w:val="2"/>
        </w:numPr>
        <w:shd w:val="clear" w:color="auto" w:fill="FFFFFF"/>
        <w:spacing w:lineRule="auto" w:line="240" w:before="0" w:after="0"/>
        <w:jc w:val="both"/>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en-US" w:eastAsia="ru-RU"/>
        </w:rPr>
        <w:t>Arnott A. M., Zentilli M. Distinguishing primary versus hydrothermal alteration assemblages at the Chuguicamata porphyry copper system, Chile. Tes. 32 Colloguium and Annual Meeting of the Atlantic Geosience Society // Atlantic Geology (Canada). – 2006. – V. 42, № 1. – P. 71.</w:t>
      </w:r>
    </w:p>
    <w:p>
      <w:pPr>
        <w:pStyle w:val="Normal"/>
        <w:numPr>
          <w:ilvl w:val="0"/>
          <w:numId w:val="2"/>
        </w:numPr>
        <w:shd w:val="clear" w:color="auto" w:fill="FFFFFF"/>
        <w:spacing w:lineRule="auto" w:line="240" w:before="0" w:after="0"/>
        <w:jc w:val="both"/>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en-US" w:eastAsia="ru-RU"/>
        </w:rPr>
        <w:t>Mansurov M. I., Imamverdiyev N. I., Karimov V. M. [et.al.]. The discovery of structural elements and zones of hydrothermal alterations by using ASTER satellite data in the margins of Gadabay and Murovdag ore districts (Lesser Caucasus, Azerbaijan) // Journal of Geology, Geografhy and Geo-ecology. – 2021. – № 30 (3). – P. 528–538.</w:t>
      </w:r>
    </w:p>
    <w:p>
      <w:pPr>
        <w:pStyle w:val="Normal"/>
        <w:numPr>
          <w:ilvl w:val="0"/>
          <w:numId w:val="2"/>
        </w:numPr>
        <w:shd w:val="clear" w:color="auto" w:fill="FFFFFF"/>
        <w:spacing w:lineRule="auto" w:line="240" w:before="0" w:after="0"/>
        <w:jc w:val="both"/>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en-US" w:eastAsia="ru-RU"/>
        </w:rPr>
        <w:t>Kostrovitsky S. I., Yakovlev D. A., Sharygin I. S., Gladkochub D. P., Donskaya T. V., Tretiakova I. G., Dymshits A. M., Sekerin A. P., Malkovets V. G. Diamondiferous lamproites of Ingashi field, Sibe-rian craton / National Electronic Information Consortium of Russia. – URL : http://sp.lyellcollec-tion.org (</w:t>
      </w:r>
      <w:r>
        <w:rPr>
          <w:rFonts w:eastAsia="Times New Roman" w:cs="Times New Roman" w:ascii="Times New Roman" w:hAnsi="Times New Roman"/>
          <w:sz w:val="24"/>
          <w:szCs w:val="24"/>
          <w:lang w:eastAsia="ru-RU"/>
        </w:rPr>
        <w:t>дата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обращения</w:t>
      </w:r>
      <w:r>
        <w:rPr>
          <w:rFonts w:eastAsia="Times New Roman" w:cs="Times New Roman" w:ascii="Times New Roman" w:hAnsi="Times New Roman"/>
          <w:sz w:val="24"/>
          <w:szCs w:val="24"/>
          <w:lang w:val="en-US" w:eastAsia="ru-RU"/>
        </w:rPr>
        <w:t>: 30.09.2021).</w:t>
      </w:r>
    </w:p>
    <w:p>
      <w:pPr>
        <w:pStyle w:val="Normal"/>
        <w:numPr>
          <w:ilvl w:val="0"/>
          <w:numId w:val="2"/>
        </w:numPr>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Шатова Н. В. Рудоносность гидротермально-метасоматических образований Рябинового рудного поля (Южная Якутия) : специальность 25.00.11 «Геология, поиски и разведка твёрдых полезных ископаемых, минерагения» : автореф. дис. на соискание учён. степ. канд. геол.-минерал. наук / Надежда Витальевна Шатова. – СПб. : ВСЕГЕИ, 2016. – 181 с.</w:t>
      </w:r>
    </w:p>
    <w:p>
      <w:pPr>
        <w:pStyle w:val="Normal"/>
        <w:numPr>
          <w:ilvl w:val="0"/>
          <w:numId w:val="2"/>
        </w:numPr>
        <w:shd w:val="clear" w:color="auto" w:fill="FFFFFF"/>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Патент № 2637215 Российская Федерация, МПК B02C 19/16 (2006.01), B02C 17/00 (2006.01). Вибрационная мельница : № 2017105030 : заявл. 15.02.2017 : опубл. 01.12.2017 / Артеменко К. И., Богданов Н. Э. – 4 с.</w:t>
      </w:r>
    </w:p>
    <w:p>
      <w:pPr>
        <w:pStyle w:val="Normal"/>
        <w:numPr>
          <w:ilvl w:val="0"/>
          <w:numId w:val="2"/>
        </w:numPr>
        <w:shd w:val="clear" w:color="auto" w:fill="FFFFFF"/>
        <w:spacing w:lineRule="auto" w:line="240" w:before="0"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ГОСТ Р 57618.1–2017. Инфраструктура маломерного флота : утвержден и введен в действие Приказом Федерального агентства по техническому регулированию и метрологии от 17 августа 2017 г. № 914-ст :  / Техречсервис. – М. : Стандартинформ, 2017. – 7 c.</w:t>
      </w:r>
    </w:p>
    <w:p>
      <w:pPr>
        <w:pStyle w:val="Normal"/>
        <w:rPr>
          <w:rFonts w:ascii="Times New Roman" w:hAnsi="Times New Roman" w:eastAsia="Times New Roman" w:cs="Times New Roman"/>
          <w:sz w:val="24"/>
          <w:szCs w:val="24"/>
          <w:lang w:eastAsia="ru-RU"/>
        </w:rPr>
      </w:pPr>
      <w:r>
        <w:rPr>
          <w:rFonts w:cs="Times New Roman" w:ascii="Times New Roman" w:hAnsi="Times New Roman"/>
        </w:rPr>
        <w:t>Рис. 1. Текст, текст,</w:t>
      </w:r>
      <w:r>
        <w:rPr>
          <w:rFonts w:eastAsia="Times New Roman" w:cs="Times New Roman" w:ascii="Times New Roman" w:hAnsi="Times New Roman"/>
          <w:sz w:val="24"/>
          <w:szCs w:val="24"/>
          <w:lang w:eastAsia="ru-RU"/>
        </w:rPr>
        <w:t xml:space="preserve"> текст, текст, текст, текст, текст, текст, текст, текст, текст, текст, текст текст, текст, текст, текст, текст</w:t>
      </w:r>
    </w:p>
    <w:p>
      <w:pPr>
        <w:pStyle w:val="Normal"/>
        <w:rPr>
          <w:rFonts w:ascii="Times New Roman" w:hAnsi="Times New Roman" w:eastAsia="Times New Roman" w:cs="Times New Roman"/>
          <w:sz w:val="24"/>
          <w:szCs w:val="24"/>
          <w:lang w:eastAsia="ru-RU"/>
        </w:rPr>
      </w:pPr>
      <w:r>
        <w:rPr>
          <w:rFonts w:cs="Times New Roman" w:ascii="Times New Roman" w:hAnsi="Times New Roman"/>
        </w:rPr>
        <w:t>Рис. 2. Текст, текст,</w:t>
      </w:r>
      <w:r>
        <w:rPr>
          <w:rFonts w:eastAsia="Times New Roman" w:cs="Times New Roman" w:ascii="Times New Roman" w:hAnsi="Times New Roman"/>
          <w:sz w:val="24"/>
          <w:szCs w:val="24"/>
          <w:lang w:eastAsia="ru-RU"/>
        </w:rPr>
        <w:t xml:space="preserve"> текст, текст, текст, текст, текст, текст, текст, текст, текст, текст, текст текст, текст, текст, текст, текст</w:t>
      </w:r>
    </w:p>
    <w:p>
      <w:pPr>
        <w:pStyle w:val="Normal"/>
        <w:spacing w:before="0" w:after="160"/>
        <w:rPr>
          <w:rFonts w:ascii="Times New Roman" w:hAnsi="Times New Roman" w:cs="Times New Roman"/>
        </w:rPr>
      </w:pPr>
      <w:r>
        <w:rPr>
          <w:rFonts w:cs="Times New Roman" w:ascii="Times New Roman" w:hAnsi="Times New Roman"/>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6">
    <w:name w:val="Heading 6"/>
    <w:basedOn w:val="Normal"/>
    <w:link w:val="6"/>
    <w:uiPriority w:val="9"/>
    <w:qFormat/>
    <w:rsid w:val="00c9554d"/>
    <w:pPr>
      <w:spacing w:lineRule="auto" w:line="240" w:beforeAutospacing="1" w:afterAutospacing="1"/>
      <w:outlineLvl w:val="5"/>
    </w:pPr>
    <w:rPr>
      <w:rFonts w:ascii="Times New Roman" w:hAnsi="Times New Roman" w:eastAsia="Times New Roman" w:cs="Times New Roman"/>
      <w:b/>
      <w:bCs/>
      <w:sz w:val="15"/>
      <w:szCs w:val="15"/>
      <w:lang w:eastAsia="ru-RU"/>
    </w:rPr>
  </w:style>
  <w:style w:type="character" w:styleId="DefaultParagraphFont" w:default="1">
    <w:name w:val="Default Paragraph Font"/>
    <w:uiPriority w:val="1"/>
    <w:semiHidden/>
    <w:unhideWhenUsed/>
    <w:qFormat/>
    <w:rPr/>
  </w:style>
  <w:style w:type="character" w:styleId="6" w:customStyle="1">
    <w:name w:val="Заголовок 6 Знак"/>
    <w:basedOn w:val="DefaultParagraphFont"/>
    <w:uiPriority w:val="9"/>
    <w:qFormat/>
    <w:rsid w:val="00c9554d"/>
    <w:rPr>
      <w:rFonts w:ascii="Times New Roman" w:hAnsi="Times New Roman" w:eastAsia="Times New Roman" w:cs="Times New Roman"/>
      <w:b/>
      <w:bCs/>
      <w:sz w:val="15"/>
      <w:szCs w:val="15"/>
      <w:lang w:eastAsia="ru-RU"/>
    </w:rPr>
  </w:style>
  <w:style w:type="character" w:styleId="Strong">
    <w:name w:val="Strong"/>
    <w:basedOn w:val="DefaultParagraphFont"/>
    <w:uiPriority w:val="22"/>
    <w:qFormat/>
    <w:rsid w:val="00c9554d"/>
    <w:rPr>
      <w:b/>
      <w:bCs/>
    </w:rPr>
  </w:style>
  <w:style w:type="character" w:styleId="Emphasis">
    <w:name w:val="Emphasis"/>
    <w:basedOn w:val="DefaultParagraphFont"/>
    <w:uiPriority w:val="20"/>
    <w:qFormat/>
    <w:rsid w:val="00c9554d"/>
    <w:rPr>
      <w:i/>
      <w:iCs/>
    </w:rPr>
  </w:style>
  <w:style w:type="character" w:styleId="Style13">
    <w:name w:val="Символ нумерации"/>
    <w:qFormat/>
    <w:rPr/>
  </w:style>
  <w:style w:type="character" w:styleId="Hyperlink">
    <w:name w:val="Hyperlink"/>
    <w:rPr>
      <w:color w:val="000080"/>
      <w:u w:val="single"/>
    </w:rPr>
  </w:style>
  <w:style w:type="character" w:styleId="FollowedHyperlink">
    <w:name w:val="FollowedHyperlink"/>
    <w:rPr>
      <w:color w:val="800000"/>
      <w:u w:val="single"/>
    </w:rPr>
  </w:style>
  <w:style w:type="paragraph" w:styleId="Style14">
    <w:name w:val="Заголовок"/>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5">
    <w:name w:val="Указатель"/>
    <w:basedOn w:val="Normal"/>
    <w:qFormat/>
    <w:pPr>
      <w:suppressLineNumbers/>
    </w:pPr>
    <w:rPr>
      <w:rFonts w:cs="Noto Sans Devanagari"/>
    </w:rPr>
  </w:style>
  <w:style w:type="paragraph" w:styleId="NormalWeb">
    <w:name w:val="Normal (Web)"/>
    <w:basedOn w:val="Normal"/>
    <w:uiPriority w:val="99"/>
    <w:semiHidden/>
    <w:unhideWhenUsed/>
    <w:qFormat/>
    <w:rsid w:val="00c9554d"/>
    <w:pPr>
      <w:spacing w:lineRule="auto" w:line="240" w:beforeAutospacing="1" w:afterAutospacing="1"/>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fa6add"/>
    <w:pPr>
      <w:spacing w:before="0" w:after="160"/>
      <w:ind w:left="72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nf.tsnigri.ru/sites/default/files/2024-11/agreements.docx"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LibreOffice/7.6.7.2$Linux_X86_64 LibreOffice_project/60$Build-2</Application>
  <AppVersion>15.0000</AppVersion>
  <Pages>4</Pages>
  <Words>1085</Words>
  <Characters>6617</Characters>
  <CharactersWithSpaces>7661</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2024-01-30T14:53:00Z</dcterms:created>
  <dc:creator>Марина И. Фомина</dc:creator>
  <dc:description/>
  <dc:language>ru-RU</dc:language>
  <cp:lastModifiedBy/>
  <dcterms:modified xsi:type="dcterms:W3CDTF">2024-11-20T15:16:03Z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